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281205" w:rsidRDefault="00913AAB" w:rsidP="002600C5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2600C5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EF72FB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023969" w:rsidRPr="00023969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75296" w:rsidP="00CE1F9F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CE1F9F">
              <w:rPr>
                <w:rFonts w:hint="eastAsia"/>
              </w:rPr>
              <w:t>B</w:t>
            </w:r>
          </w:p>
        </w:tc>
        <w:tc>
          <w:tcPr>
            <w:tcW w:w="2251" w:type="pct"/>
            <w:vMerge/>
          </w:tcPr>
          <w:p w:rsidR="00913AAB" w:rsidRPr="00281205" w:rsidRDefault="00913AAB" w:rsidP="002600C5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ind w:firstLine="880"/>
      </w:pPr>
      <w:r>
        <w:rPr>
          <w:rFonts w:hint="eastAsia"/>
        </w:rPr>
        <w:t>BRC5</w:t>
      </w:r>
      <w:r w:rsidR="00F5414C">
        <w:rPr>
          <w:rFonts w:hint="eastAsia"/>
        </w:rPr>
        <w:t>4</w:t>
      </w:r>
      <w:r>
        <w:rPr>
          <w:rFonts w:hint="eastAsia"/>
        </w:rPr>
        <w:t>0H27156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CE1F9F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264EC0" w:rsidP="00CE1F9F">
            <w:pPr>
              <w:pStyle w:val="a5"/>
              <w:spacing w:line="240" w:lineRule="auto"/>
              <w:ind w:firstLineChars="0" w:firstLine="0"/>
            </w:pPr>
            <w:r>
              <w:t>201</w:t>
            </w:r>
            <w:r w:rsidR="00CE1F9F">
              <w:rPr>
                <w:rFonts w:hint="eastAsia"/>
              </w:rPr>
              <w:t>8</w:t>
            </w:r>
            <w:r>
              <w:t>-0</w:t>
            </w:r>
            <w:r w:rsidR="00CE1F9F">
              <w:rPr>
                <w:rFonts w:hint="eastAsia"/>
              </w:rPr>
              <w:t>2</w:t>
            </w:r>
            <w:r>
              <w:t>-</w:t>
            </w:r>
            <w:r w:rsidR="00CE1F9F">
              <w:rPr>
                <w:rFonts w:hint="eastAsia"/>
              </w:rPr>
              <w:t>2</w:t>
            </w:r>
            <w:r>
              <w:t>8</w:t>
            </w: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AA7E08" w:rsidRDefault="00AA7E08" w:rsidP="00913AAB">
      <w:pPr>
        <w:pStyle w:val="a5"/>
        <w:ind w:firstLineChars="0" w:firstLine="0"/>
      </w:pPr>
    </w:p>
    <w:p w:rsidR="00913AAB" w:rsidRDefault="00AA7E08" w:rsidP="00913AAB">
      <w:pPr>
        <w:pStyle w:val="a7"/>
        <w:ind w:firstLineChars="0" w:firstLine="0"/>
      </w:pPr>
      <w:r w:rsidRPr="00AA7E08">
        <w:rPr>
          <w:noProof/>
        </w:rPr>
        <w:drawing>
          <wp:inline distT="0" distB="0" distL="0" distR="0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BRC5</w:t>
      </w:r>
      <w:r w:rsidR="002464E1">
        <w:rPr>
          <w:rFonts w:hint="eastAsia"/>
        </w:rPr>
        <w:t>4</w:t>
      </w:r>
      <w:r>
        <w:rPr>
          <w:rFonts w:hint="eastAsia"/>
        </w:rPr>
        <w:t>0H27156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ITE (In </w:t>
      </w:r>
      <w:proofErr w:type="gramStart"/>
      <w:r w:rsidRPr="004155BC">
        <w:rPr>
          <w:sz w:val="21"/>
          <w:szCs w:val="21"/>
        </w:rPr>
        <w:t>The</w:t>
      </w:r>
      <w:proofErr w:type="gramEnd"/>
      <w:r w:rsidRPr="004155BC">
        <w:rPr>
          <w:sz w:val="21"/>
          <w:szCs w:val="21"/>
        </w:rPr>
        <w:t xml:space="preserve"> Ear), BTE (Behind the Ear) applications with standard response.</w:t>
      </w:r>
      <w:r>
        <w:rPr>
          <w:rFonts w:hint="eastAsia"/>
          <w:sz w:val="21"/>
          <w:szCs w:val="21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913AAB" w:rsidP="00CE1F9F">
            <w:pPr>
              <w:pStyle w:val="2"/>
              <w:spacing w:before="0" w:after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BRC5</w:t>
            </w:r>
            <w:r w:rsidR="002464E1">
              <w:rPr>
                <w:rFonts w:hint="eastAsia"/>
                <w:sz w:val="21"/>
                <w:szCs w:val="21"/>
              </w:rPr>
              <w:t>4</w:t>
            </w:r>
            <w:r w:rsidRPr="00C76588"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H27156</w:t>
            </w:r>
            <w:r w:rsidRPr="00672EF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Pr="00672EFF">
              <w:rPr>
                <w:sz w:val="21"/>
                <w:szCs w:val="21"/>
              </w:rPr>
              <w:t xml:space="preserve"> </w:t>
            </w:r>
            <w:r w:rsidR="00CE1F9F">
              <w:rPr>
                <w:rFonts w:hint="eastAsia"/>
                <w:sz w:val="21"/>
                <w:szCs w:val="21"/>
              </w:rPr>
              <w:t>B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EA76D0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485900" cy="1194663"/>
            <wp:effectExtent l="0" t="0" r="0" b="0"/>
            <wp:docPr id="2" name="图片 1" descr="微信图片_20170817100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8171008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162" cy="1197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CC0CBA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913AAB" w:rsidRDefault="00EF72FB" w:rsidP="00913AAB">
      <w:pPr>
        <w:ind w:firstLineChars="0" w:firstLine="0"/>
      </w:pPr>
      <w:r>
        <w:rPr>
          <w:noProof/>
        </w:rPr>
        <w:drawing>
          <wp:inline distT="0" distB="0" distL="0" distR="0">
            <wp:extent cx="5727700" cy="2386330"/>
            <wp:effectExtent l="0" t="0" r="6350" b="0"/>
            <wp:docPr id="4" name="图片 3" descr="BRC540H27156 cd_10127_000N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540H27156 cd_10127_000N-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E6586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960A3D">
        <w:rPr>
          <w:b w:val="0"/>
          <w:sz w:val="28"/>
          <w:szCs w:val="28"/>
        </w:rPr>
        <w:lastRenderedPageBreak/>
        <w:t>Features&amp;Benefits</w:t>
      </w:r>
      <w:proofErr w:type="spellEnd"/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ITE, </w:t>
      </w:r>
      <w:r w:rsidRPr="000C4B71">
        <w:rPr>
          <w:rFonts w:hint="eastAsia"/>
          <w:sz w:val="21"/>
          <w:szCs w:val="21"/>
        </w:rPr>
        <w:t>BTE</w:t>
      </w:r>
      <w:r w:rsidRPr="000C4B71">
        <w:rPr>
          <w:sz w:val="21"/>
          <w:szCs w:val="21"/>
        </w:rPr>
        <w:t xml:space="preserve">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855643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0.22</w:t>
      </w:r>
      <w:r w:rsidR="00913AAB"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108.</w:t>
            </w:r>
            <w:r w:rsidR="00264EC0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105.5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CE1F9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104.</w:t>
            </w:r>
            <w:r w:rsidR="00CE1F9F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2</w:t>
            </w:r>
            <w:r w:rsidR="004E6AA1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F165E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115.</w:t>
            </w:r>
            <w:r w:rsidR="00F165E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4750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F165E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F165E5">
              <w:rPr>
                <w:rFonts w:ascii="Arial" w:hAnsi="Arial" w:cs="Arial" w:hint="eastAsia"/>
                <w:sz w:val="20"/>
                <w:szCs w:val="21"/>
              </w:rPr>
              <w:t>10.0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436CA">
              <w:rPr>
                <w:rFonts w:ascii="Arial" w:hAnsi="Arial" w:cs="Arial" w:hint="eastAsia"/>
                <w:sz w:val="20"/>
                <w:szCs w:val="21"/>
              </w:rPr>
              <w:t>28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E933DE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200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E933DE" w:rsidP="00CE1F9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CE1F9F">
              <w:rPr>
                <w:rFonts w:ascii="Arial" w:hAnsi="Arial" w:cs="Arial" w:hint="eastAsia"/>
                <w:sz w:val="20"/>
                <w:szCs w:val="21"/>
              </w:rPr>
              <w:t>30</w:t>
            </w:r>
            <w:r w:rsidR="00913AAB" w:rsidRPr="00383783">
              <w:rPr>
                <w:rFonts w:ascii="Arial" w:hAnsi="Arial" w:cs="Arial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127.0</w:t>
            </w:r>
          </w:p>
        </w:tc>
        <w:tc>
          <w:tcPr>
            <w:tcW w:w="1559" w:type="dxa"/>
            <w:vAlign w:val="center"/>
          </w:tcPr>
          <w:p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Default="002464E1" w:rsidP="007C6AAD">
      <w:pPr>
        <w:ind w:firstLineChars="0" w:firstLine="0"/>
      </w:pPr>
      <w:r>
        <w:rPr>
          <w:noProof/>
        </w:rPr>
        <w:drawing>
          <wp:inline distT="0" distB="0" distL="0" distR="0">
            <wp:extent cx="6462862" cy="3373472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862" cy="3373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AAD" w:rsidRPr="003C79B4" w:rsidRDefault="007C6AAD" w:rsidP="007C6AAD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 w:rsidR="00EF72FB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EF72FB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EF72FB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A52" w:rsidRDefault="007E1A52" w:rsidP="001331A6">
      <w:pPr>
        <w:spacing w:line="240" w:lineRule="auto"/>
      </w:pPr>
      <w:r>
        <w:separator/>
      </w:r>
    </w:p>
  </w:endnote>
  <w:endnote w:type="continuationSeparator" w:id="0">
    <w:p w:rsidR="007E1A52" w:rsidRDefault="007E1A52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2600C5" w:rsidRPr="00D757B3" w:rsidTr="002600C5">
      <w:tc>
        <w:tcPr>
          <w:tcW w:w="1172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4114B6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4114B6" w:rsidRPr="00D757B3">
            <w:rPr>
              <w:rFonts w:hAnsi="宋体" w:cs="Arial" w:hint="eastAsia"/>
            </w:rPr>
            <w:fldChar w:fldCharType="separate"/>
          </w:r>
          <w:r w:rsidR="00023969">
            <w:rPr>
              <w:rFonts w:hAnsi="宋体" w:cs="Arial"/>
              <w:noProof/>
            </w:rPr>
            <w:t>4</w:t>
          </w:r>
          <w:r w:rsidR="004114B6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023969" w:rsidRPr="00023969">
              <w:rPr>
                <w:rFonts w:hAnsi="宋体" w:cs="Arial"/>
                <w:noProof/>
              </w:rPr>
              <w:t>4</w:t>
            </w:r>
          </w:fldSimple>
        </w:p>
      </w:tc>
    </w:tr>
  </w:tbl>
  <w:p w:rsidR="002600C5" w:rsidRPr="00D757B3" w:rsidRDefault="002600C5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A52" w:rsidRDefault="007E1A52" w:rsidP="001331A6">
      <w:pPr>
        <w:spacing w:line="240" w:lineRule="auto"/>
      </w:pPr>
      <w:r>
        <w:separator/>
      </w:r>
    </w:p>
  </w:footnote>
  <w:footnote w:type="continuationSeparator" w:id="0">
    <w:p w:rsidR="007E1A52" w:rsidRDefault="007E1A52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2600C5" w:rsidRPr="0099077C" w:rsidTr="002600C5">
      <w:trPr>
        <w:cantSplit/>
        <w:trHeight w:hRule="exact" w:val="851"/>
      </w:trPr>
      <w:tc>
        <w:tcPr>
          <w:tcW w:w="1843" w:type="dxa"/>
          <w:vAlign w:val="center"/>
        </w:tcPr>
        <w:p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2600C5" w:rsidRPr="00B44111" w:rsidRDefault="002600C5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2600C5" w:rsidRDefault="002600C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23969"/>
    <w:rsid w:val="00024C03"/>
    <w:rsid w:val="0005567D"/>
    <w:rsid w:val="00092E7A"/>
    <w:rsid w:val="0009656A"/>
    <w:rsid w:val="000D4681"/>
    <w:rsid w:val="000F3CB9"/>
    <w:rsid w:val="001331A6"/>
    <w:rsid w:val="00144065"/>
    <w:rsid w:val="001450F0"/>
    <w:rsid w:val="00150369"/>
    <w:rsid w:val="00173702"/>
    <w:rsid w:val="001D45AB"/>
    <w:rsid w:val="002048EC"/>
    <w:rsid w:val="002464E1"/>
    <w:rsid w:val="002600C5"/>
    <w:rsid w:val="00264EC0"/>
    <w:rsid w:val="00271BDB"/>
    <w:rsid w:val="002930CD"/>
    <w:rsid w:val="002C3E03"/>
    <w:rsid w:val="002D34E9"/>
    <w:rsid w:val="002F4218"/>
    <w:rsid w:val="003F0A28"/>
    <w:rsid w:val="003F3A80"/>
    <w:rsid w:val="004114B6"/>
    <w:rsid w:val="004436CA"/>
    <w:rsid w:val="004A5240"/>
    <w:rsid w:val="004C7FFB"/>
    <w:rsid w:val="004D7962"/>
    <w:rsid w:val="004E6AA1"/>
    <w:rsid w:val="00576C43"/>
    <w:rsid w:val="00590616"/>
    <w:rsid w:val="005F6859"/>
    <w:rsid w:val="0065140B"/>
    <w:rsid w:val="006B035D"/>
    <w:rsid w:val="006F4CEB"/>
    <w:rsid w:val="007762EA"/>
    <w:rsid w:val="007C6AAD"/>
    <w:rsid w:val="007E1A52"/>
    <w:rsid w:val="00803F77"/>
    <w:rsid w:val="00806497"/>
    <w:rsid w:val="00855643"/>
    <w:rsid w:val="00863785"/>
    <w:rsid w:val="0086771C"/>
    <w:rsid w:val="008A67D7"/>
    <w:rsid w:val="008E1990"/>
    <w:rsid w:val="00913AAB"/>
    <w:rsid w:val="00967AB8"/>
    <w:rsid w:val="009727FD"/>
    <w:rsid w:val="00975296"/>
    <w:rsid w:val="009A1F2E"/>
    <w:rsid w:val="009B38EC"/>
    <w:rsid w:val="009D0DF2"/>
    <w:rsid w:val="00A561ED"/>
    <w:rsid w:val="00A938B5"/>
    <w:rsid w:val="00AA7E08"/>
    <w:rsid w:val="00B07FE1"/>
    <w:rsid w:val="00B830CB"/>
    <w:rsid w:val="00B977CC"/>
    <w:rsid w:val="00BB6DC3"/>
    <w:rsid w:val="00C34CAE"/>
    <w:rsid w:val="00C640D2"/>
    <w:rsid w:val="00CA6ADB"/>
    <w:rsid w:val="00CC0CBA"/>
    <w:rsid w:val="00CC12F6"/>
    <w:rsid w:val="00CD65FE"/>
    <w:rsid w:val="00CE1F9F"/>
    <w:rsid w:val="00D524C5"/>
    <w:rsid w:val="00D57718"/>
    <w:rsid w:val="00D73F85"/>
    <w:rsid w:val="00D80408"/>
    <w:rsid w:val="00DA2F53"/>
    <w:rsid w:val="00DA3017"/>
    <w:rsid w:val="00DE18A8"/>
    <w:rsid w:val="00E20B52"/>
    <w:rsid w:val="00E6586A"/>
    <w:rsid w:val="00E933DE"/>
    <w:rsid w:val="00EA76D0"/>
    <w:rsid w:val="00EF72FB"/>
    <w:rsid w:val="00F165E5"/>
    <w:rsid w:val="00F45162"/>
    <w:rsid w:val="00F53426"/>
    <w:rsid w:val="00F5414C"/>
    <w:rsid w:val="00FC3649"/>
    <w:rsid w:val="00FC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a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zoe.wang</dc:creator>
  <cp:lastModifiedBy>Windows 用户</cp:lastModifiedBy>
  <cp:revision>3</cp:revision>
  <cp:lastPrinted>2018-02-28T13:18:00Z</cp:lastPrinted>
  <dcterms:created xsi:type="dcterms:W3CDTF">2018-02-28T13:18:00Z</dcterms:created>
  <dcterms:modified xsi:type="dcterms:W3CDTF">2018-02-28T13:18:00Z</dcterms:modified>
</cp:coreProperties>
</file>